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333333"/>
          <w:spacing w:val="0"/>
          <w:sz w:val="36"/>
          <w:szCs w:val="36"/>
          <w:shd w:val="clear" w:fill="FFFFFF"/>
        </w:rPr>
      </w:pPr>
      <w:r>
        <w:rPr>
          <w:rFonts w:hint="eastAsia" w:ascii="宋体" w:hAnsi="宋体" w:eastAsia="宋体" w:cs="宋体"/>
          <w:b/>
          <w:i w:val="0"/>
          <w:caps w:val="0"/>
          <w:color w:val="333333"/>
          <w:spacing w:val="0"/>
          <w:sz w:val="36"/>
          <w:szCs w:val="36"/>
          <w:shd w:val="clear" w:fill="FFFFFF"/>
        </w:rPr>
        <w:t>中国人民银行亳州市中心支行201</w:t>
      </w:r>
      <w:r>
        <w:rPr>
          <w:rFonts w:hint="eastAsia" w:ascii="宋体" w:hAnsi="宋体" w:eastAsia="宋体" w:cs="宋体"/>
          <w:b/>
          <w:i w:val="0"/>
          <w:caps w:val="0"/>
          <w:color w:val="333333"/>
          <w:spacing w:val="0"/>
          <w:sz w:val="36"/>
          <w:szCs w:val="36"/>
          <w:shd w:val="clear" w:fill="FFFFFF"/>
          <w:lang w:val="en-US" w:eastAsia="zh-CN"/>
        </w:rPr>
        <w:t>9</w:t>
      </w:r>
      <w:r>
        <w:rPr>
          <w:rFonts w:hint="eastAsia" w:ascii="宋体" w:hAnsi="宋体" w:eastAsia="宋体" w:cs="宋体"/>
          <w:b/>
          <w:i w:val="0"/>
          <w:caps w:val="0"/>
          <w:color w:val="333333"/>
          <w:spacing w:val="0"/>
          <w:sz w:val="36"/>
          <w:szCs w:val="36"/>
          <w:shd w:val="clear" w:fill="FFFFFF"/>
        </w:rPr>
        <w:t>年度</w:t>
      </w:r>
    </w:p>
    <w:p>
      <w:pPr>
        <w:jc w:val="center"/>
        <w:rPr>
          <w:rFonts w:hint="eastAsia" w:ascii="宋体" w:hAnsi="宋体" w:eastAsia="宋体" w:cs="宋体"/>
          <w:b/>
          <w:i w:val="0"/>
          <w:caps w:val="0"/>
          <w:color w:val="333333"/>
          <w:spacing w:val="0"/>
          <w:sz w:val="36"/>
          <w:szCs w:val="36"/>
          <w:shd w:val="clear" w:fill="FFFFFF"/>
        </w:rPr>
      </w:pPr>
      <w:r>
        <w:rPr>
          <w:rFonts w:hint="eastAsia" w:ascii="宋体" w:hAnsi="宋体" w:eastAsia="宋体" w:cs="宋体"/>
          <w:b/>
          <w:i w:val="0"/>
          <w:caps w:val="0"/>
          <w:color w:val="333333"/>
          <w:spacing w:val="0"/>
          <w:sz w:val="36"/>
          <w:szCs w:val="36"/>
          <w:shd w:val="clear" w:fill="FFFFFF"/>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right="0" w:firstLine="482" w:firstLineChars="20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201</w:t>
      </w:r>
      <w:r>
        <w:rPr>
          <w:rFonts w:hint="eastAsia" w:ascii="宋体" w:hAnsi="宋体" w:eastAsia="宋体" w:cs="宋体"/>
          <w:i w:val="0"/>
          <w:caps w:val="0"/>
          <w:color w:val="333333"/>
          <w:spacing w:val="0"/>
          <w:sz w:val="24"/>
          <w:szCs w:val="24"/>
          <w:shd w:val="clear" w:fill="FFFFFF"/>
          <w:lang w:val="en-US" w:eastAsia="zh-CN"/>
        </w:rPr>
        <w:t>9</w:t>
      </w:r>
      <w:r>
        <w:rPr>
          <w:rFonts w:hint="eastAsia" w:ascii="宋体" w:hAnsi="宋体" w:eastAsia="宋体" w:cs="宋体"/>
          <w:i w:val="0"/>
          <w:caps w:val="0"/>
          <w:color w:val="333333"/>
          <w:spacing w:val="0"/>
          <w:sz w:val="24"/>
          <w:szCs w:val="24"/>
          <w:shd w:val="clear" w:fill="FFFFFF"/>
        </w:rPr>
        <w:t>年，人民银行亳州市中心支行按照上级行及市政府政务公开工作要求，紧密结合实际，不断拓展公开内容，创新公开形式，完善公开制度，强化公开监督，积极推进政府信息公开工作稳步开展</w:t>
      </w:r>
      <w:r>
        <w:rPr>
          <w:rFonts w:hint="eastAsia" w:ascii="宋体" w:hAnsi="宋体" w:eastAsia="宋体" w:cs="宋体"/>
          <w:i w:val="0"/>
          <w:caps w:val="0"/>
          <w:color w:val="333333"/>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（一）强化组织领导，确保公开工作落实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为加强对政务公开工作的统一协调、指导和监督，确保政务信息公开工作落实到位，我中心支行成立了政务公开领导小组，形成了“一把手负总责、分管领导亲自抓、办公室具体抓、各职能部门协同配合、纪委督查督办”的组织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领导小组积极支持政务公开工作，定期召开领导小组会议，明确责任目标、分解工作任务，研究落实工作措施，解决实际问题，推进政务公开常态化。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（二）严格执行规定，保证权力公开透明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严格执行政务信息公开工作相关规定，不断拓展信息公开领域，保证行政权力公开透明，充分保障了人民群众的知情权、参与权和监督权。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w:t>
      </w:r>
      <w:r>
        <w:rPr>
          <w:rFonts w:hint="eastAsia" w:ascii="宋体" w:hAnsi="宋体" w:eastAsia="宋体" w:cs="宋体"/>
          <w:i w:val="0"/>
          <w:caps w:val="0"/>
          <w:color w:val="333333"/>
          <w:spacing w:val="0"/>
          <w:sz w:val="24"/>
          <w:szCs w:val="24"/>
          <w:shd w:val="clear" w:fill="FFFFFF"/>
          <w:lang w:eastAsia="zh-CN"/>
        </w:rPr>
        <w:t>及时调整政务公开目录</w:t>
      </w: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eastAsia="zh-CN"/>
        </w:rPr>
        <w:t>按照今年</w:t>
      </w:r>
      <w:r>
        <w:rPr>
          <w:rFonts w:hint="eastAsia" w:ascii="宋体" w:hAnsi="宋体" w:eastAsia="宋体" w:cs="宋体"/>
          <w:i w:val="0"/>
          <w:caps w:val="0"/>
          <w:color w:val="333333"/>
          <w:spacing w:val="0"/>
          <w:sz w:val="24"/>
          <w:szCs w:val="24"/>
          <w:shd w:val="clear" w:fill="FFFFFF"/>
          <w:lang w:val="en-US" w:eastAsia="zh-CN"/>
        </w:rPr>
        <w:t>5月新施行</w:t>
      </w: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eastAsia="zh-CN"/>
        </w:rPr>
        <w:t>政府信息公开条例</w:t>
      </w: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eastAsia="zh-CN"/>
        </w:rPr>
        <w:t>及时对信息公开范围、公开形式和时限、依申请公开办理等内容进行修改完善。对照《市直部门政府信息主动公开目录规范（</w:t>
      </w:r>
      <w:r>
        <w:rPr>
          <w:rFonts w:hint="eastAsia" w:ascii="宋体" w:hAnsi="宋体" w:eastAsia="宋体" w:cs="宋体"/>
          <w:i w:val="0"/>
          <w:caps w:val="0"/>
          <w:color w:val="333333"/>
          <w:spacing w:val="0"/>
          <w:sz w:val="24"/>
          <w:szCs w:val="24"/>
          <w:shd w:val="clear" w:fill="FFFFFF"/>
          <w:lang w:val="en-US" w:eastAsia="zh-CN"/>
        </w:rPr>
        <w:t>2019年版</w:t>
      </w:r>
      <w:r>
        <w:rPr>
          <w:rFonts w:hint="eastAsia" w:ascii="宋体" w:hAnsi="宋体" w:eastAsia="宋体" w:cs="宋体"/>
          <w:i w:val="0"/>
          <w:caps w:val="0"/>
          <w:color w:val="333333"/>
          <w:spacing w:val="0"/>
          <w:sz w:val="24"/>
          <w:szCs w:val="24"/>
          <w:shd w:val="clear" w:fill="FFFFFF"/>
          <w:lang w:eastAsia="zh-CN"/>
        </w:rPr>
        <w:t>）》，对</w:t>
      </w:r>
      <w:r>
        <w:rPr>
          <w:rFonts w:hint="eastAsia" w:ascii="宋体" w:hAnsi="宋体" w:eastAsia="宋体" w:cs="宋体"/>
          <w:i w:val="0"/>
          <w:caps w:val="0"/>
          <w:color w:val="333333"/>
          <w:spacing w:val="0"/>
          <w:sz w:val="24"/>
          <w:szCs w:val="24"/>
          <w:shd w:val="clear" w:fill="FFFFFF"/>
        </w:rPr>
        <w:t>政务公开目录</w:t>
      </w:r>
      <w:r>
        <w:rPr>
          <w:rFonts w:hint="eastAsia" w:ascii="宋体" w:hAnsi="宋体" w:eastAsia="宋体" w:cs="宋体"/>
          <w:i w:val="0"/>
          <w:caps w:val="0"/>
          <w:color w:val="333333"/>
          <w:spacing w:val="0"/>
          <w:sz w:val="24"/>
          <w:szCs w:val="24"/>
          <w:shd w:val="clear" w:fill="FFFFFF"/>
          <w:lang w:eastAsia="zh-CN"/>
        </w:rPr>
        <w:t>进行规范调整</w:t>
      </w: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eastAsia="zh-CN"/>
        </w:rPr>
        <w:t>做好重点调整栏目的信息更新维护和动态调整</w:t>
      </w:r>
      <w:r>
        <w:rPr>
          <w:rFonts w:hint="eastAsia" w:ascii="宋体" w:hAnsi="宋体" w:eastAsia="宋体" w:cs="宋体"/>
          <w:i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2.稳步推进政务信息公开。</w:t>
      </w:r>
      <w:r>
        <w:rPr>
          <w:rFonts w:hint="eastAsia" w:ascii="宋体" w:hAnsi="宋体" w:eastAsia="宋体" w:cs="宋体"/>
          <w:i w:val="0"/>
          <w:caps w:val="0"/>
          <w:color w:val="333333"/>
          <w:spacing w:val="0"/>
          <w:sz w:val="24"/>
          <w:szCs w:val="24"/>
          <w:shd w:val="clear" w:fill="FFFFFF"/>
          <w:lang w:eastAsia="zh-CN"/>
        </w:rPr>
        <w:t>严格执行</w:t>
      </w:r>
      <w:r>
        <w:rPr>
          <w:rFonts w:hint="eastAsia" w:ascii="宋体" w:hAnsi="宋体" w:eastAsia="宋体" w:cs="宋体"/>
          <w:i w:val="0"/>
          <w:caps w:val="0"/>
          <w:color w:val="333333"/>
          <w:spacing w:val="0"/>
          <w:sz w:val="24"/>
          <w:szCs w:val="24"/>
          <w:shd w:val="clear" w:fill="FFFFFF"/>
        </w:rPr>
        <w:t>重大行政决策合法性审查制度，对重大行政决策要经法律事务部门从是否越权、内容是否合法、过程是否合规等方面进行审查，全方位保障行政决策阳光透明；梳理行政权力项目并以一览表的形式，通过亳州政府信息公开网站向社会公布，增强人民银行履职的透明度，满足监管对象的知情权；依法公开随机抽查事项清单，明确抽查依据、主体、内容、方式等，实行“阳光执法”，稳步推进公示行政许可准予、变更、延续、撤销以及行政处罚结果等信息，201</w:t>
      </w:r>
      <w:r>
        <w:rPr>
          <w:rFonts w:hint="eastAsia" w:ascii="宋体" w:hAnsi="宋体" w:eastAsia="宋体" w:cs="宋体"/>
          <w:i w:val="0"/>
          <w:caps w:val="0"/>
          <w:color w:val="333333"/>
          <w:spacing w:val="0"/>
          <w:sz w:val="24"/>
          <w:szCs w:val="24"/>
          <w:shd w:val="clear" w:fill="FFFFFF"/>
          <w:lang w:val="en-US" w:eastAsia="zh-CN"/>
        </w:rPr>
        <w:t>9</w:t>
      </w:r>
      <w:r>
        <w:rPr>
          <w:rFonts w:hint="eastAsia" w:ascii="宋体" w:hAnsi="宋体" w:eastAsia="宋体" w:cs="宋体"/>
          <w:i w:val="0"/>
          <w:caps w:val="0"/>
          <w:color w:val="333333"/>
          <w:spacing w:val="0"/>
          <w:sz w:val="24"/>
          <w:szCs w:val="24"/>
          <w:shd w:val="clear" w:fill="FFFFFF"/>
        </w:rPr>
        <w:t>年全年通过合肥中支子网站公开行政处罚信息</w:t>
      </w: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项</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公开行政许可信息</w:t>
      </w:r>
      <w:r>
        <w:rPr>
          <w:rFonts w:hint="eastAsia" w:ascii="宋体" w:hAnsi="宋体" w:eastAsia="宋体" w:cs="宋体"/>
          <w:i w:val="0"/>
          <w:caps w:val="0"/>
          <w:color w:val="333333"/>
          <w:spacing w:val="0"/>
          <w:sz w:val="24"/>
          <w:szCs w:val="24"/>
          <w:shd w:val="clear" w:fill="FFFFFF"/>
          <w:lang w:val="en-US" w:eastAsia="zh-CN"/>
        </w:rPr>
        <w:t>1万</w:t>
      </w:r>
      <w:r>
        <w:rPr>
          <w:rFonts w:hint="eastAsia" w:ascii="宋体" w:hAnsi="宋体" w:eastAsia="宋体" w:cs="宋体"/>
          <w:i w:val="0"/>
          <w:caps w:val="0"/>
          <w:color w:val="333333"/>
          <w:spacing w:val="0"/>
          <w:sz w:val="24"/>
          <w:szCs w:val="24"/>
          <w:shd w:val="clear" w:fill="FFFFFF"/>
        </w:rPr>
        <w:t>余条。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3.持续强化政策宣传解读。一是畅通渠道，主动做好政策解读。积极运用新闻媒体、政府公开平台以及地方两微一端等方式，对国家金融法律法规、宏观调控政策实时进行解读，提升群众的金融意识和金融素养；二是正确引导，积极回应社会关切。对涉及履职范围内的重要事项，均在第一时间通过亳州政府信息公开网和《亳州晚报》向社会公布，并指定专人监测，发现虚假或不完整信息，及时澄清，树立正确的舆情导向，营造健康有序的金融环境。201</w:t>
      </w:r>
      <w:r>
        <w:rPr>
          <w:rFonts w:hint="eastAsia" w:ascii="宋体" w:hAnsi="宋体" w:eastAsia="宋体" w:cs="宋体"/>
          <w:i w:val="0"/>
          <w:caps w:val="0"/>
          <w:color w:val="333333"/>
          <w:spacing w:val="0"/>
          <w:sz w:val="24"/>
          <w:szCs w:val="24"/>
          <w:shd w:val="clear" w:fill="FFFFFF"/>
          <w:lang w:val="en-US" w:eastAsia="zh-CN"/>
        </w:rPr>
        <w:t>9</w:t>
      </w:r>
      <w:r>
        <w:rPr>
          <w:rFonts w:hint="eastAsia" w:ascii="宋体" w:hAnsi="宋体" w:eastAsia="宋体" w:cs="宋体"/>
          <w:i w:val="0"/>
          <w:caps w:val="0"/>
          <w:color w:val="333333"/>
          <w:spacing w:val="0"/>
          <w:sz w:val="24"/>
          <w:szCs w:val="24"/>
          <w:shd w:val="clear" w:fill="FFFFFF"/>
        </w:rPr>
        <w:t>年，我中心支行未发生重大金融突发事件。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4.积极开展培训宣传工作。借助全行性会议、办公室业务会议等形式，多渠道对各级领导干部开展政务公开培训。成立了政务公开工作联络小组，由办公室、法律部门、业务科室各抽调一名人员组成。通过发挥联络员的纽带联系作用，在全行上下普及政务公开的相关知识，营造重视政务公开工作的良好氛围。同时，积极组织人员参加市政府组织的政务公开业务培训会，将会议精神在行内及时传达并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（三）拓展公开渠道，丰富政务公开形式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我中心支行信息公开工作以亳州市政府信息公开网站为主要平台。201</w:t>
      </w:r>
      <w:r>
        <w:rPr>
          <w:rFonts w:hint="eastAsia" w:ascii="宋体" w:hAnsi="宋体" w:eastAsia="宋体" w:cs="宋体"/>
          <w:i w:val="0"/>
          <w:caps w:val="0"/>
          <w:color w:val="333333"/>
          <w:spacing w:val="0"/>
          <w:sz w:val="24"/>
          <w:szCs w:val="24"/>
          <w:shd w:val="clear" w:fill="FFFFFF"/>
          <w:lang w:val="en-US" w:eastAsia="zh-CN"/>
        </w:rPr>
        <w:t>9</w:t>
      </w:r>
      <w:r>
        <w:rPr>
          <w:rFonts w:hint="eastAsia" w:ascii="宋体" w:hAnsi="宋体" w:eastAsia="宋体" w:cs="宋体"/>
          <w:i w:val="0"/>
          <w:caps w:val="0"/>
          <w:color w:val="333333"/>
          <w:spacing w:val="0"/>
          <w:sz w:val="24"/>
          <w:szCs w:val="24"/>
          <w:shd w:val="clear" w:fill="FFFFFF"/>
        </w:rPr>
        <w:t>年，通过持续整合完善网站各栏目信息，注重政务公开形式、范围，妥善处理好政务公开与保密关系，及时、准确、全面地主动公开政务信息。全年通过政府信息公开网公开各类信息</w:t>
      </w:r>
      <w:r>
        <w:rPr>
          <w:rFonts w:hint="eastAsia" w:ascii="宋体" w:hAnsi="宋体" w:eastAsia="宋体" w:cs="宋体"/>
          <w:i w:val="0"/>
          <w:caps w:val="0"/>
          <w:color w:val="333333"/>
          <w:spacing w:val="0"/>
          <w:sz w:val="24"/>
          <w:szCs w:val="24"/>
          <w:shd w:val="clear" w:fill="FFFFFF"/>
          <w:lang w:val="en-US" w:eastAsia="zh-CN"/>
        </w:rPr>
        <w:t>86</w:t>
      </w:r>
      <w:r>
        <w:rPr>
          <w:rFonts w:hint="eastAsia" w:ascii="宋体" w:hAnsi="宋体" w:eastAsia="宋体" w:cs="宋体"/>
          <w:i w:val="0"/>
          <w:caps w:val="0"/>
          <w:color w:val="333333"/>
          <w:spacing w:val="0"/>
          <w:sz w:val="24"/>
          <w:szCs w:val="24"/>
          <w:shd w:val="clear" w:fill="FFFFFF"/>
        </w:rPr>
        <w:t>条，其中预决算</w:t>
      </w:r>
      <w:r>
        <w:rPr>
          <w:rFonts w:hint="eastAsia" w:ascii="宋体" w:hAnsi="宋体" w:eastAsia="宋体" w:cs="宋体"/>
          <w:i w:val="0"/>
          <w:caps w:val="0"/>
          <w:color w:val="333333"/>
          <w:spacing w:val="0"/>
          <w:sz w:val="24"/>
          <w:szCs w:val="24"/>
          <w:shd w:val="clear" w:fill="FFFFFF"/>
          <w:lang w:val="en-US" w:eastAsia="zh-CN"/>
        </w:rPr>
        <w:t>6</w:t>
      </w:r>
      <w:r>
        <w:rPr>
          <w:rFonts w:hint="eastAsia" w:ascii="宋体" w:hAnsi="宋体" w:eastAsia="宋体" w:cs="宋体"/>
          <w:i w:val="0"/>
          <w:caps w:val="0"/>
          <w:color w:val="333333"/>
          <w:spacing w:val="0"/>
          <w:sz w:val="24"/>
          <w:szCs w:val="24"/>
          <w:shd w:val="clear" w:fill="FFFFFF"/>
        </w:rPr>
        <w:t>条、专题信息</w:t>
      </w:r>
      <w:r>
        <w:rPr>
          <w:rFonts w:hint="eastAsia" w:ascii="宋体" w:hAnsi="宋体" w:eastAsia="宋体" w:cs="宋体"/>
          <w:i w:val="0"/>
          <w:caps w:val="0"/>
          <w:color w:val="333333"/>
          <w:spacing w:val="0"/>
          <w:sz w:val="24"/>
          <w:szCs w:val="24"/>
          <w:shd w:val="clear" w:fill="FFFFFF"/>
          <w:lang w:val="en-US" w:eastAsia="zh-CN"/>
        </w:rPr>
        <w:t>31</w:t>
      </w:r>
      <w:r>
        <w:rPr>
          <w:rFonts w:hint="eastAsia" w:ascii="宋体" w:hAnsi="宋体" w:eastAsia="宋体" w:cs="宋体"/>
          <w:i w:val="0"/>
          <w:caps w:val="0"/>
          <w:color w:val="333333"/>
          <w:spacing w:val="0"/>
          <w:sz w:val="24"/>
          <w:szCs w:val="24"/>
          <w:shd w:val="clear" w:fill="FFFFFF"/>
        </w:rPr>
        <w:t>条、重大决策公开</w:t>
      </w:r>
      <w:r>
        <w:rPr>
          <w:rFonts w:hint="eastAsia" w:ascii="宋体" w:hAnsi="宋体" w:eastAsia="宋体" w:cs="宋体"/>
          <w:i w:val="0"/>
          <w:caps w:val="0"/>
          <w:color w:val="333333"/>
          <w:spacing w:val="0"/>
          <w:sz w:val="24"/>
          <w:szCs w:val="24"/>
          <w:shd w:val="clear" w:fill="FFFFFF"/>
          <w:lang w:val="en-US" w:eastAsia="zh-CN"/>
        </w:rPr>
        <w:t>4</w:t>
      </w:r>
      <w:r>
        <w:rPr>
          <w:rFonts w:hint="eastAsia" w:ascii="宋体" w:hAnsi="宋体" w:eastAsia="宋体" w:cs="宋体"/>
          <w:i w:val="0"/>
          <w:caps w:val="0"/>
          <w:color w:val="333333"/>
          <w:spacing w:val="0"/>
          <w:sz w:val="24"/>
          <w:szCs w:val="24"/>
          <w:shd w:val="clear" w:fill="FFFFFF"/>
        </w:rPr>
        <w:t>条。通过与亳州晚报社合作，在《亳州晚报》开辟“金融专版”，作为政务公开的又一重要平台。201</w:t>
      </w:r>
      <w:r>
        <w:rPr>
          <w:rFonts w:hint="eastAsia" w:ascii="宋体" w:hAnsi="宋体" w:eastAsia="宋体" w:cs="宋体"/>
          <w:i w:val="0"/>
          <w:caps w:val="0"/>
          <w:color w:val="333333"/>
          <w:spacing w:val="0"/>
          <w:sz w:val="24"/>
          <w:szCs w:val="24"/>
          <w:shd w:val="clear" w:fill="FFFFFF"/>
          <w:lang w:val="en-US" w:eastAsia="zh-CN"/>
        </w:rPr>
        <w:t>9</w:t>
      </w:r>
      <w:r>
        <w:rPr>
          <w:rFonts w:hint="eastAsia" w:ascii="宋体" w:hAnsi="宋体" w:eastAsia="宋体" w:cs="宋体"/>
          <w:i w:val="0"/>
          <w:caps w:val="0"/>
          <w:color w:val="333333"/>
          <w:spacing w:val="0"/>
          <w:sz w:val="24"/>
          <w:szCs w:val="24"/>
          <w:shd w:val="clear" w:fill="FFFFFF"/>
        </w:rPr>
        <w:t>年，我中心支行依托合肥中支子网站公开执法信息</w:t>
      </w: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条。同时，积极利用地方两微一端、商业银行开辟的微信、短信平台等，做好政策传导与社会群体之间的信息沟通，拓展政务公开的渠道。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（四）加强监督检查，着力强化考核问责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一是向社会公开投诉电话和邮箱，主动接受社会各界的监督。201</w:t>
      </w:r>
      <w:r>
        <w:rPr>
          <w:rFonts w:hint="eastAsia" w:ascii="宋体" w:hAnsi="宋体" w:eastAsia="宋体" w:cs="宋体"/>
          <w:i w:val="0"/>
          <w:caps w:val="0"/>
          <w:color w:val="333333"/>
          <w:spacing w:val="0"/>
          <w:sz w:val="24"/>
          <w:szCs w:val="24"/>
          <w:shd w:val="clear" w:fill="FFFFFF"/>
          <w:lang w:val="en-US" w:eastAsia="zh-CN"/>
        </w:rPr>
        <w:t>9</w:t>
      </w:r>
      <w:r>
        <w:rPr>
          <w:rFonts w:hint="eastAsia" w:ascii="宋体" w:hAnsi="宋体" w:eastAsia="宋体" w:cs="宋体"/>
          <w:i w:val="0"/>
          <w:caps w:val="0"/>
          <w:color w:val="333333"/>
          <w:spacing w:val="0"/>
          <w:sz w:val="24"/>
          <w:szCs w:val="24"/>
          <w:shd w:val="clear" w:fill="FFFFFF"/>
        </w:rPr>
        <w:t>年收到市长热线受理事项</w:t>
      </w:r>
      <w:r>
        <w:rPr>
          <w:rFonts w:hint="eastAsia" w:ascii="宋体" w:hAnsi="宋体" w:eastAsia="宋体" w:cs="宋体"/>
          <w:i w:val="0"/>
          <w:caps w:val="0"/>
          <w:color w:val="333333"/>
          <w:spacing w:val="0"/>
          <w:sz w:val="24"/>
          <w:szCs w:val="24"/>
          <w:shd w:val="clear" w:fill="FFFFFF"/>
          <w:lang w:val="en-US" w:eastAsia="zh-CN"/>
        </w:rPr>
        <w:t>9</w:t>
      </w:r>
      <w:r>
        <w:rPr>
          <w:rFonts w:hint="eastAsia" w:ascii="宋体" w:hAnsi="宋体" w:eastAsia="宋体" w:cs="宋体"/>
          <w:i w:val="0"/>
          <w:caps w:val="0"/>
          <w:color w:val="333333"/>
          <w:spacing w:val="0"/>
          <w:sz w:val="24"/>
          <w:szCs w:val="24"/>
          <w:shd w:val="clear" w:fill="FFFFFF"/>
        </w:rPr>
        <w:t>项，均已办理，反映人评价满意；人大建议和政协提案办理7条。二是自觉接受当地政府的监督检查。市政务公开办按月对政务公开网站开展检查测评，根据其通报的问题，我中心支行全力做好应公开信息的完善和补充，进一步提高我中心支行有效履职、优化金融服务的水平。三是强化考核问责。我中心支行将政务公开工作与各职能部门目标责任考核相挂钩，每季度对发现问题进行考核通报，切实提高了各部门对政务公开工作的重视程度，确保了政务公开工作的稳定性与长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53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二、主动公开政府信息情况</w:t>
      </w:r>
    </w:p>
    <w:tbl>
      <w:tblPr>
        <w:tblStyle w:val="3"/>
        <w:tblW w:w="8140" w:type="dxa"/>
        <w:jc w:val="center"/>
        <w:shd w:val="clear" w:color="auto" w:fill="auto"/>
        <w:tblLayout w:type="fixed"/>
        <w:tblCellMar>
          <w:top w:w="0" w:type="dxa"/>
          <w:left w:w="0" w:type="dxa"/>
          <w:bottom w:w="0" w:type="dxa"/>
          <w:right w:w="0" w:type="dxa"/>
        </w:tblCellMar>
      </w:tblPr>
      <w:tblGrid>
        <w:gridCol w:w="3113"/>
        <w:gridCol w:w="1875"/>
        <w:gridCol w:w="6"/>
        <w:gridCol w:w="1265"/>
        <w:gridCol w:w="1881"/>
      </w:tblGrid>
      <w:tr>
        <w:tblPrEx>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4</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-1</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11126</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8</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eastAsiaTheme="minorEastAsia"/>
                <w:lang w:val="en-US" w:eastAsia="zh-CN"/>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1</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257464.27元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1</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1</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1</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1</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1</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Batang" w:hAnsi="Batang" w:eastAsia="Batang" w:cs="Batang"/>
              </w:rPr>
            </w:pPr>
            <w:r>
              <w:rPr>
                <w:rFonts w:hint="eastAsia" w:ascii="Batang" w:hAnsi="Batang" w:eastAsia="Batang" w:cs="Batang"/>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2" w:firstLineChars="20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目前，中国人民银行亳州市中心支行政府信息公开工作在深化公开内容、改进政务服务、加强管理监督等方面还需改进。下一步我们从以下几个方面加以改进：一是进一步规范和深入推进主动公开，健全制度体系和工作程序，拓展主动公开的范围和深度；二进一步加强行政权力的动态管理，推进行政权力运行程序化；三是探索构建政府信息公开长效机制，加强系统政府信息公开培训和经验交流，提升全辖政府信息公开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2" w:firstLineChars="20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0" w:lineRule="exact"/>
        <w:ind w:left="0" w:right="0" w:firstLine="480" w:firstLineChars="20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依申请公开应当填写提交《中国人民银行亳州市中心支行政府信息公开申请表》，此表可以登陆亳州市人民政府信息公开网站下载，也可以直接到中国人民银行亳州市中心支行政府信息公开领导小组办公室领取（地址：亳州市魏武大道619号，邮编：236800，电话：0558-5992861）。</w:t>
      </w:r>
    </w:p>
    <w:p>
      <w:pPr>
        <w:keepNext w:val="0"/>
        <w:keepLines w:val="0"/>
        <w:pageBreakBefore w:val="0"/>
        <w:kinsoku/>
        <w:wordWrap/>
        <w:overflowPunct/>
        <w:topLinePunct w:val="0"/>
        <w:autoSpaceDE/>
        <w:autoSpaceDN/>
        <w:bidi w:val="0"/>
        <w:adjustRightInd/>
        <w:snapToGrid/>
        <w:spacing w:line="530" w:lineRule="exact"/>
        <w:ind w:firstLine="723" w:firstLineChars="200"/>
        <w:textAlignment w:val="auto"/>
        <w:rPr>
          <w:rFonts w:hint="eastAsia" w:ascii="宋体" w:hAnsi="宋体" w:eastAsia="宋体" w:cs="宋体"/>
          <w:b/>
          <w:i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5285C"/>
    <w:rsid w:val="197D259A"/>
    <w:rsid w:val="3EA96736"/>
    <w:rsid w:val="7DAC58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Se7en_jp</cp:lastModifiedBy>
  <dcterms:modified xsi:type="dcterms:W3CDTF">2020-01-21T03:13:22Z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